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sz w:val="26"/>
          <w:szCs w:val="26"/>
        </w:rPr>
        <w:t xml:space="preserve">YOUR BUSINESS NAME</w:t>
      </w:r>
    </w:p>
    <w:p>
      <w:pPr>
        <w:pBdr>
          <w:bottom w:val="single" w:color="999999" w:sz="6" w:space="6"/>
        </w:pBdr>
        <w:spacing w:after="240"/>
      </w:pPr>
      <w:r>
        <w:rPr>
          <w:rFonts w:ascii="Arial" w:cs="Arial" w:eastAsia="Arial" w:hAnsi="Arial"/>
          <w:color w:val="555555"/>
          <w:sz w:val="16"/>
          <w:szCs w:val="16"/>
        </w:rPr>
        <w:t xml:space="preserve">Phone  ·  Email  ·  Website</w:t>
      </w:r>
    </w:p>
    <w:p>
      <w:pPr>
        <w:spacing w:after="80"/>
      </w:pPr>
      <w:r>
        <w:rPr>
          <w:rFonts w:ascii="Arial" w:cs="Arial" w:eastAsia="Arial" w:hAnsi="Arial"/>
          <w:b/>
          <w:bCs/>
          <w:sz w:val="36"/>
          <w:szCs w:val="36"/>
        </w:rPr>
        <w:t xml:space="preserve">Home Watch Service Agreement and Key Authorization</w:t>
      </w:r>
    </w:p>
    <w:p>
      <w:pPr>
        <w:spacing w:after="200"/>
      </w:pPr>
      <w:r>
        <w:rPr>
          <w:rFonts w:ascii="Arial" w:cs="Arial" w:eastAsia="Arial" w:hAnsi="Arial"/>
          <w:color w:val="555555"/>
          <w:sz w:val="20"/>
          <w:szCs w:val="20"/>
        </w:rPr>
        <w:t xml:space="preserve">Part A is the agreement. Part B records the keys and codes the provider holds and who may enter. One signature covers both.</w:t>
      </w:r>
    </w:p>
    <w:p>
      <w:pPr>
        <w:pBdr>
          <w:left w:val="single" w:color="92400E" w:sz="24" w:space="8"/>
        </w:pBdr>
        <w:spacing w:after="160" w:before="120"/>
        <w:ind w:left="200"/>
      </w:pPr>
      <w:r>
        <w:rPr>
          <w:rFonts w:ascii="Arial" w:cs="Arial" w:eastAsia="Arial" w:hAnsi="Arial"/>
          <w:sz w:val="18"/>
          <w:szCs w:val="18"/>
        </w:rPr>
        <w:t xml:space="preserve">This is a starting template, not legal advice. Laws differ from state to state. Fill in the blanks, take out what doesn't apply, and have a licensed attorney in your state review it before you use it with clients.</w:t>
      </w:r>
    </w:p>
    <w:p>
      <w:pPr>
        <w:keepNext/>
        <w:spacing w:after="80" w:before="280"/>
      </w:pPr>
      <w:r>
        <w:rPr>
          <w:rFonts w:ascii="Arial" w:cs="Arial" w:eastAsia="Arial" w:hAnsi="Arial"/>
          <w:b/>
          <w:bCs/>
          <w:color w:val="92400E"/>
          <w:sz w:val="24"/>
          <w:szCs w:val="24"/>
        </w:rPr>
        <w:t xml:space="preserve">The parties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Provider (business name)</w:t>
            </w:r>
          </w:p>
          <w:p>
            <w:pPr>
              <w:keepNext w:val="false"/>
              <w:spacing w:before="120"/>
            </w:pPr>
          </w:p>
        </w:tc>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Provider contact name</w:t>
            </w:r>
          </w:p>
          <w:p>
            <w:pPr>
              <w:keepNext w:val="false"/>
              <w:spacing w:before="120"/>
            </w:pPr>
          </w:p>
        </w:tc>
      </w:tr>
      <w:tr>
        <w:trPr>
          <w:cantSplit/>
        </w:trPr>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Provider phone</w:t>
            </w:r>
          </w:p>
          <w:p>
            <w:pPr>
              <w:keepNext w:val="false"/>
              <w:spacing w:before="120"/>
            </w:pPr>
          </w:p>
        </w:tc>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Provider email</w:t>
            </w:r>
          </w:p>
          <w:p>
            <w:pPr>
              <w:keepNext w:val="false"/>
              <w:spacing w:before="120"/>
            </w:pPr>
          </w:p>
        </w:tc>
      </w:tr>
      <w:tr>
        <w:trPr>
          <w:cantSplit/>
        </w:trPr>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Client name(s)</w:t>
            </w:r>
          </w:p>
          <w:p>
            <w:pPr>
              <w:keepNext w:val="false"/>
              <w:spacing w:before="120"/>
            </w:pPr>
          </w:p>
        </w:tc>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Client phone</w:t>
            </w:r>
          </w:p>
          <w:p>
            <w:pPr>
              <w:keepNext w:val="false"/>
              <w:spacing w:before="120"/>
            </w:pPr>
          </w:p>
        </w:tc>
      </w:tr>
      <w:tr>
        <w:trPr>
          <w:cantSplit/>
        </w:trPr>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Client email</w:t>
            </w:r>
          </w:p>
          <w:p>
            <w:pPr>
              <w:keepNext w:val="false"/>
              <w:spacing w:before="120"/>
            </w:pPr>
          </w:p>
        </w:tc>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Client mailing address while away</w:t>
            </w:r>
          </w:p>
          <w:p>
            <w:pPr>
              <w:keepNext w:val="false"/>
              <w:spacing w:before="120"/>
            </w:pPr>
          </w:p>
        </w:tc>
      </w:tr>
      <w:tr>
        <w:trPr>
          <w:cantSplit/>
        </w:trPr>
        <w:tc>
          <w:tcPr>
            <w:tcW w:type="dxa" w:w="10080"/>
            <w:gridSpan w:val="2"/>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Property address</w:t>
            </w:r>
          </w:p>
          <w:p>
            <w:pPr>
              <w:keepNext w:val="false"/>
              <w:spacing w:before="120"/>
            </w:pPr>
          </w:p>
        </w:tc>
      </w:tr>
      <w:tr>
        <w:trPr>
          <w:cantSplit/>
        </w:trPr>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Start date</w:t>
            </w:r>
          </w:p>
          <w:p>
            <w:pPr>
              <w:keepNext w:val="false"/>
              <w:spacing w:before="120"/>
            </w:pPr>
          </w:p>
        </w:tc>
        <w:tc>
          <w:tcPr>
            <w:tcW w:type="dxa" w:w="5040"/>
            <w:tcBorders>
              <w:top w:val="none" w:color="FFFFFF" w:sz="0"/>
              <w:left w:val="none" w:color="FFFFFF" w:sz="0"/>
              <w:bottom w:val="none" w:color="FFFFFF" w:sz="0"/>
              <w:right w:val="none" w:color="FFFFFF" w:sz="0"/>
            </w:tcBorders>
          </w:tcPr>
          <w:p>
            <w:r>
              <w:t xml:space="preserve"/>
            </w:r>
          </w:p>
        </w:tc>
      </w:tr>
    </w:tbl>
    <w:p>
      <w:pPr>
        <w:spacing w:after="60"/>
      </w:pPr>
    </w:p>
    <w:p>
      <w:pPr>
        <w:pBdr>
          <w:bottom w:val="single" w:color="92400E" w:sz="12" w:space="4"/>
        </w:pBdr>
        <w:spacing w:after="120" w:before="360"/>
      </w:pPr>
      <w:r>
        <w:rPr>
          <w:rFonts w:ascii="Arial" w:cs="Arial" w:eastAsia="Arial" w:hAnsi="Arial"/>
          <w:b/>
          <w:bCs/>
          <w:sz w:val="28"/>
          <w:szCs w:val="28"/>
        </w:rPr>
        <w:t xml:space="preserve">Part A: The agreement</w:t>
      </w:r>
    </w:p>
    <w:p>
      <w:pPr>
        <w:spacing w:after="120"/>
      </w:pPr>
      <w:r>
        <w:rPr>
          <w:rFonts w:ascii="Arial" w:cs="Arial" w:eastAsia="Arial" w:hAnsi="Arial"/>
          <w:b/>
          <w:bCs/>
          <w:sz w:val="20"/>
          <w:szCs w:val="20"/>
        </w:rPr>
        <w:t xml:space="preserve">1. Services.</w:t>
      </w:r>
      <w:r>
        <w:rPr>
          <w:rFonts w:ascii="Arial" w:cs="Arial" w:eastAsia="Arial" w:hAnsi="Arial"/>
          <w:sz w:val="20"/>
          <w:szCs w:val="20"/>
        </w:rPr>
        <w:t xml:space="preserve"> Provider will visit the Property on the schedule below while it is unoccupied and visually check the conditions on the agreed visit checklist. After each visit, Provider will email Client a written report with photos.</w:t>
      </w:r>
    </w:p>
    <w:p>
      <w:pPr>
        <w:spacing w:after="120"/>
      </w:pPr>
      <w:r>
        <w:rPr>
          <w:rFonts w:ascii="Arial" w:cs="Arial" w:eastAsia="Arial" w:hAnsi="Arial"/>
          <w:b/>
          <w:bCs/>
          <w:sz w:val="20"/>
          <w:szCs w:val="20"/>
        </w:rPr>
        <w:t xml:space="preserve">2. What this service is not.</w:t>
      </w:r>
      <w:r>
        <w:rPr>
          <w:rFonts w:ascii="Arial" w:cs="Arial" w:eastAsia="Arial" w:hAnsi="Arial"/>
          <w:sz w:val="20"/>
          <w:szCs w:val="20"/>
        </w:rPr>
        <w:t xml:space="preserve"> Home watch is a visual check of conditions that can readily be seen during a visit. Under this Agreement, Provider is not acting as a home inspector, contractor, security guard or property manager. Provider does not move furniture, open walls, ceilings or equipment, or test systems beyond the checks on the visit checklist. Provider cannot guarantee that problems won't happen, or that a problem that starts between visits will be caught before it causes damage.</w:t>
      </w:r>
    </w:p>
    <w:p>
      <w:pPr>
        <w:spacing w:after="120"/>
      </w:pPr>
      <w:r>
        <w:rPr>
          <w:rFonts w:ascii="Arial" w:cs="Arial" w:eastAsia="Arial" w:hAnsi="Arial"/>
          <w:b/>
          <w:bCs/>
          <w:sz w:val="20"/>
          <w:szCs w:val="20"/>
        </w:rPr>
        <w:t xml:space="preserve">3. Visit schedule.</w:t>
      </w:r>
      <w:r>
        <w:rPr>
          <w:rFonts w:ascii="Arial" w:cs="Arial" w:eastAsia="Arial" w:hAnsi="Arial"/>
          <w:sz w:val="20"/>
          <w:szCs w:val="20"/>
        </w:rPr>
        <w:t xml:space="preserve"> Visits will take place:</w:t>
      </w:r>
    </w:p>
    <w:p>
      <w:pPr>
        <w:spacing w:after="120"/>
      </w:pPr>
      <w:r>
        <w:rPr>
          <w:rFonts w:ascii="Arial" w:cs="Arial" w:eastAsia="Arial" w:hAnsi="Arial"/>
          <w:sz w:val="20"/>
          <w:szCs w:val="20"/>
        </w:rPr>
        <w:t xml:space="preserve">☐  Weekly      ☐  Every two weeks      ☐  Monthly      ☐  Other: ______________________</w:t>
      </w:r>
    </w:p>
    <w:p>
      <w:pPr>
        <w:spacing w:after="120"/>
      </w:pPr>
      <w:r>
        <w:rPr>
          <w:rFonts w:ascii="Arial" w:cs="Arial" w:eastAsia="Arial" w:hAnsi="Arial"/>
          <w:sz w:val="20"/>
          <w:szCs w:val="20"/>
        </w:rPr>
        <w:t xml:space="preserve">Service period: from ______________ to ______________. Provider may move a visit by up to ____ days because of weather, holidays or an emergency, and will tell Client when it does.</w:t>
      </w:r>
    </w:p>
    <w:p>
      <w:pPr>
        <w:spacing w:after="120"/>
      </w:pPr>
      <w:r>
        <w:rPr>
          <w:rFonts w:ascii="Arial" w:cs="Arial" w:eastAsia="Arial" w:hAnsi="Arial"/>
          <w:b/>
          <w:bCs/>
          <w:sz w:val="20"/>
          <w:szCs w:val="20"/>
        </w:rPr>
        <w:t xml:space="preserve">4. Fees and payment.</w:t>
      </w:r>
      <w:r>
        <w:rPr>
          <w:rFonts w:ascii="Arial" w:cs="Arial" w:eastAsia="Arial" w:hAnsi="Arial"/>
          <w:sz w:val="20"/>
          <w:szCs w:val="20"/>
        </w:rPr>
        <w:t xml:space="preserve"> Visit rate: $________ per visit, or $________ per month. Extra services, such as meeting a contractor, storm preparation or errands, are $________ per hour or as quoted in advance. Client will be billed:</w:t>
      </w:r>
    </w:p>
    <w:p>
      <w:pPr>
        <w:spacing w:after="120"/>
      </w:pPr>
      <w:r>
        <w:rPr>
          <w:rFonts w:ascii="Arial" w:cs="Arial" w:eastAsia="Arial" w:hAnsi="Arial"/>
          <w:sz w:val="20"/>
          <w:szCs w:val="20"/>
        </w:rPr>
        <w:t xml:space="preserve">☐  Monthly, after the visits      ☐  Monthly, in advance      ☐  Prepaid for the season</w:t>
      </w:r>
    </w:p>
    <w:p>
      <w:pPr>
        <w:spacing w:after="120"/>
      </w:pPr>
      <w:r>
        <w:rPr>
          <w:rFonts w:ascii="Arial" w:cs="Arial" w:eastAsia="Arial" w:hAnsi="Arial"/>
          <w:sz w:val="20"/>
          <w:szCs w:val="20"/>
        </w:rPr>
        <w:t xml:space="preserve">Invoices are due within ____ days. Accepted payment methods: ______________________________________.</w:t>
      </w:r>
    </w:p>
    <w:p>
      <w:pPr>
        <w:spacing w:after="120"/>
      </w:pPr>
      <w:r>
        <w:rPr>
          <w:rFonts w:ascii="Arial" w:cs="Arial" w:eastAsia="Arial" w:hAnsi="Arial"/>
          <w:b/>
          <w:bCs/>
          <w:sz w:val="20"/>
          <w:szCs w:val="20"/>
        </w:rPr>
        <w:t xml:space="preserve">5. Keys, codes and access.</w:t>
      </w:r>
      <w:r>
        <w:rPr>
          <w:rFonts w:ascii="Arial" w:cs="Arial" w:eastAsia="Arial" w:hAnsi="Arial"/>
          <w:sz w:val="20"/>
          <w:szCs w:val="20"/>
        </w:rPr>
        <w:t xml:space="preserve"> Part B lists the keys, codes and access details Client gives Provider, and who else may enter. Provider will tag keys with a code instead of the address, store keys and codes securely and apart from each other, not copy keys without Client's permission, and return everything within ____ days after this Agreement ends.</w:t>
      </w:r>
    </w:p>
    <w:p>
      <w:pPr>
        <w:spacing w:after="120"/>
      </w:pPr>
      <w:r>
        <w:rPr>
          <w:rFonts w:ascii="Arial" w:cs="Arial" w:eastAsia="Arial" w:hAnsi="Arial"/>
          <w:b/>
          <w:bCs/>
          <w:sz w:val="20"/>
          <w:szCs w:val="20"/>
        </w:rPr>
        <w:t xml:space="preserve">6. When Provider finds a problem.</w:t>
      </w:r>
      <w:r>
        <w:rPr>
          <w:rFonts w:ascii="Arial" w:cs="Arial" w:eastAsia="Arial" w:hAnsi="Arial"/>
          <w:sz w:val="20"/>
          <w:szCs w:val="20"/>
        </w:rPr>
        <w:t xml:space="preserve"> Provider will contact Client using the contact order on the First Walk-Through Worksheet. If Client can't be reached and the problem is actively damaging the Property, such as a running water leak, an air conditioner that has failed in hot weather, or an open door, Client authorizes Provider to take reasonable steps to limit the damage. This includes shutting off water or power and calling a licensed vendor, and spending up to $________ without further approval. Client is responsible for vendor charges.</w:t>
      </w:r>
    </w:p>
    <w:p>
      <w:pPr>
        <w:spacing w:after="120"/>
      </w:pPr>
      <w:r>
        <w:rPr>
          <w:rFonts w:ascii="Arial" w:cs="Arial" w:eastAsia="Arial" w:hAnsi="Arial"/>
          <w:b/>
          <w:bCs/>
          <w:sz w:val="20"/>
          <w:szCs w:val="20"/>
        </w:rPr>
        <w:t xml:space="preserve">7. Vendors.</w:t>
      </w:r>
      <w:r>
        <w:rPr>
          <w:rFonts w:ascii="Arial" w:cs="Arial" w:eastAsia="Arial" w:hAnsi="Arial"/>
          <w:sz w:val="20"/>
          <w:szCs w:val="20"/>
        </w:rPr>
        <w:t xml:space="preserve"> Provider may recommend vendors but does not do repairs and is not responsible for a vendor's work. Client pays vendors directly unless both parties agree otherwise in writing.</w:t>
      </w:r>
    </w:p>
    <w:p>
      <w:pPr>
        <w:spacing w:after="120"/>
      </w:pPr>
      <w:r>
        <w:rPr>
          <w:rFonts w:ascii="Arial" w:cs="Arial" w:eastAsia="Arial" w:hAnsi="Arial"/>
          <w:b/>
          <w:bCs/>
          <w:sz w:val="20"/>
          <w:szCs w:val="20"/>
        </w:rPr>
        <w:t xml:space="preserve">8. Client responsibilities.</w:t>
      </w:r>
      <w:r>
        <w:rPr>
          <w:rFonts w:ascii="Arial" w:cs="Arial" w:eastAsia="Arial" w:hAnsi="Arial"/>
          <w:sz w:val="20"/>
          <w:szCs w:val="20"/>
        </w:rPr>
        <w:t xml:space="preserve"> Client will keep utilities on and the Property insured; tell Provider about known problems, alarm monitoring, and anyone else who has access; and tell Provider in advance when anyone will be staying at the Property.</w:t>
      </w:r>
    </w:p>
    <w:p>
      <w:pPr>
        <w:spacing w:after="120"/>
      </w:pPr>
      <w:r>
        <w:rPr>
          <w:rFonts w:ascii="Arial" w:cs="Arial" w:eastAsia="Arial" w:hAnsi="Arial"/>
          <w:b/>
          <w:bCs/>
          <w:sz w:val="20"/>
          <w:szCs w:val="20"/>
        </w:rPr>
        <w:t xml:space="preserve">9. Insurance.</w:t>
      </w:r>
      <w:r>
        <w:rPr>
          <w:rFonts w:ascii="Arial" w:cs="Arial" w:eastAsia="Arial" w:hAnsi="Arial"/>
          <w:sz w:val="20"/>
          <w:szCs w:val="20"/>
        </w:rPr>
        <w:t xml:space="preserve"> Provider carries general liability insurance of $______________ and a bond or crime coverage of $______________. Certificates are available on request.</w:t>
      </w:r>
    </w:p>
    <w:p>
      <w:pPr>
        <w:spacing w:after="120"/>
      </w:pPr>
      <w:r>
        <w:rPr>
          <w:rFonts w:ascii="Arial" w:cs="Arial" w:eastAsia="Arial" w:hAnsi="Arial"/>
          <w:b/>
          <w:bCs/>
          <w:sz w:val="20"/>
          <w:szCs w:val="20"/>
        </w:rPr>
        <w:t xml:space="preserve">10. Responsibility for damage.</w:t>
      </w:r>
      <w:r>
        <w:rPr>
          <w:rFonts w:ascii="Arial" w:cs="Arial" w:eastAsia="Arial" w:hAnsi="Arial"/>
          <w:sz w:val="20"/>
          <w:szCs w:val="20"/>
        </w:rPr>
        <w:t xml:space="preserve"> Provider is responsible for damage caused by its own negligence or misconduct while on the Property. Provider is not responsible for damage that would have happened regardless of the visits, or that began between visits and could not reasonably have been seen. Optional: Provider's total liability under this Agreement is limited to $______________.</w:t>
      </w:r>
    </w:p>
    <w:p>
      <w:pPr>
        <w:spacing w:after="120"/>
      </w:pPr>
      <w:r>
        <w:rPr>
          <w:rFonts w:ascii="Arial" w:cs="Arial" w:eastAsia="Arial" w:hAnsi="Arial"/>
          <w:b/>
          <w:bCs/>
          <w:sz w:val="20"/>
          <w:szCs w:val="20"/>
        </w:rPr>
        <w:t xml:space="preserve">11. Ending the Agreement.</w:t>
      </w:r>
      <w:r>
        <w:rPr>
          <w:rFonts w:ascii="Arial" w:cs="Arial" w:eastAsia="Arial" w:hAnsi="Arial"/>
          <w:sz w:val="20"/>
          <w:szCs w:val="20"/>
        </w:rPr>
        <w:t xml:space="preserve"> Either party may end this Agreement with ____ days' written notice. Email counts as written notice. Fees for visits already made remain due, and any prepaid amount for visits not yet made will be refunded.</w:t>
      </w:r>
    </w:p>
    <w:p>
      <w:pPr>
        <w:spacing w:after="120"/>
      </w:pPr>
      <w:r>
        <w:rPr>
          <w:rFonts w:ascii="Arial" w:cs="Arial" w:eastAsia="Arial" w:hAnsi="Arial"/>
          <w:b/>
          <w:bCs/>
          <w:sz w:val="20"/>
          <w:szCs w:val="20"/>
        </w:rPr>
        <w:t xml:space="preserve">12. Privacy.</w:t>
      </w:r>
      <w:r>
        <w:rPr>
          <w:rFonts w:ascii="Arial" w:cs="Arial" w:eastAsia="Arial" w:hAnsi="Arial"/>
          <w:sz w:val="20"/>
          <w:szCs w:val="20"/>
        </w:rPr>
        <w:t xml:space="preserve"> Provider will keep Client's personal information, codes and photos of the Property confidential and use them only to provide these services.</w:t>
      </w:r>
    </w:p>
    <w:p>
      <w:pPr>
        <w:spacing w:after="120"/>
      </w:pPr>
      <w:r>
        <w:rPr>
          <w:rFonts w:ascii="Arial" w:cs="Arial" w:eastAsia="Arial" w:hAnsi="Arial"/>
          <w:b/>
          <w:bCs/>
          <w:sz w:val="20"/>
          <w:szCs w:val="20"/>
        </w:rPr>
        <w:t xml:space="preserve">13. Whole agreement and changes.</w:t>
      </w:r>
      <w:r>
        <w:rPr>
          <w:rFonts w:ascii="Arial" w:cs="Arial" w:eastAsia="Arial" w:hAnsi="Arial"/>
          <w:sz w:val="20"/>
          <w:szCs w:val="20"/>
        </w:rPr>
        <w:t xml:space="preserve"> This Agreement (Parts A and B), the visit checklist and the First Walk-Through Worksheet make up the whole agreement. Changes must be in writing; an email from each party agreeing to the change counts.</w:t>
      </w:r>
    </w:p>
    <w:p>
      <w:pPr>
        <w:spacing w:after="120"/>
      </w:pPr>
      <w:r>
        <w:rPr>
          <w:rFonts w:ascii="Arial" w:cs="Arial" w:eastAsia="Arial" w:hAnsi="Arial"/>
          <w:b/>
          <w:bCs/>
          <w:sz w:val="20"/>
          <w:szCs w:val="20"/>
        </w:rPr>
        <w:t xml:space="preserve">14. Governing law.</w:t>
      </w:r>
      <w:r>
        <w:rPr>
          <w:rFonts w:ascii="Arial" w:cs="Arial" w:eastAsia="Arial" w:hAnsi="Arial"/>
          <w:sz w:val="20"/>
          <w:szCs w:val="20"/>
        </w:rPr>
        <w:t xml:space="preserve"> This Agreement is governed by the laws of the State of ______________________.</w:t>
      </w:r>
    </w:p>
    <w:p>
      <w:pPr>
        <w:pageBreakBefore/>
        <w:pBdr>
          <w:bottom w:val="single" w:color="92400E" w:sz="12" w:space="4"/>
        </w:pBdr>
        <w:spacing w:after="120" w:before="360"/>
      </w:pPr>
      <w:r>
        <w:rPr>
          <w:rFonts w:ascii="Arial" w:cs="Arial" w:eastAsia="Arial" w:hAnsi="Arial"/>
          <w:b/>
          <w:bCs/>
          <w:sz w:val="28"/>
          <w:szCs w:val="28"/>
        </w:rPr>
        <w:t xml:space="preserve">Part B: Keys, codes and access</w:t>
      </w:r>
    </w:p>
    <w:p>
      <w:pPr>
        <w:keepNext/>
        <w:spacing w:after="80" w:before="280"/>
      </w:pPr>
      <w:r>
        <w:rPr>
          <w:rFonts w:ascii="Arial" w:cs="Arial" w:eastAsia="Arial" w:hAnsi="Arial"/>
          <w:b/>
          <w:bCs/>
          <w:color w:val="92400E"/>
          <w:sz w:val="24"/>
          <w:szCs w:val="24"/>
        </w:rPr>
        <w:t xml:space="preserve">Keys and access items received</w:t>
      </w:r>
    </w:p>
    <w:p>
      <w:pPr>
        <w:keepNext/>
        <w:spacing w:after="80"/>
      </w:pPr>
      <w:r>
        <w:rPr>
          <w:rFonts w:ascii="Arial" w:cs="Arial" w:eastAsia="Arial" w:hAnsi="Arial"/>
          <w:color w:val="555555"/>
          <w:sz w:val="18"/>
          <w:szCs w:val="18"/>
        </w:rPr>
        <w:t xml:space="preserve">For example: front door, garage remote, gate fob, mailbox key, pool gate key, lockbox.</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80"/>
        <w:gridCol w:w="1120"/>
        <w:gridCol w:w="2240"/>
        <w:gridCol w:w="2240"/>
      </w:tblGrid>
      <w:tr>
        <w:trPr>
          <w:tblHeader/>
        </w:trPr>
        <w:tc>
          <w:tcPr>
            <w:tcW w:type="dxa" w:w="4480"/>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Item</w:t>
            </w:r>
          </w:p>
        </w:tc>
        <w:tc>
          <w:tcPr>
            <w:tcW w:type="dxa" w:w="1120"/>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Qty</w:t>
            </w:r>
          </w:p>
        </w:tc>
        <w:tc>
          <w:tcPr>
            <w:tcW w:type="dxa" w:w="2240"/>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Key tag code</w:t>
            </w:r>
          </w:p>
        </w:tc>
        <w:tc>
          <w:tcPr>
            <w:tcW w:type="dxa" w:w="2240"/>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Date received</w:t>
            </w:r>
          </w:p>
        </w:tc>
      </w:tr>
      <w:tr>
        <w:trPr>
          <w:cantSplit/>
          <w:trHeight w:val="400" w:hRule="atLeast"/>
        </w:trPr>
        <w:tc>
          <w:tcPr>
            <w:tcW w:type="dxa" w:w="448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12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448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12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448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12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448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12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448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12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448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12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bl>
    <w:p>
      <w:pPr>
        <w:spacing w:after="60"/>
      </w:pPr>
    </w:p>
    <w:p>
      <w:pPr>
        <w:keepNext/>
        <w:spacing w:after="80" w:before="280"/>
      </w:pPr>
      <w:r>
        <w:rPr>
          <w:rFonts w:ascii="Arial" w:cs="Arial" w:eastAsia="Arial" w:hAnsi="Arial"/>
          <w:b/>
          <w:bCs/>
          <w:color w:val="92400E"/>
          <w:sz w:val="24"/>
          <w:szCs w:val="24"/>
        </w:rPr>
        <w:t xml:space="preserve">Codes and access details</w:t>
      </w:r>
    </w:p>
    <w:p>
      <w:pPr>
        <w:keepNext/>
        <w:spacing w:after="80"/>
      </w:pPr>
      <w:r>
        <w:rPr>
          <w:rFonts w:ascii="Arial" w:cs="Arial" w:eastAsia="Arial" w:hAnsi="Arial"/>
          <w:color w:val="555555"/>
          <w:sz w:val="18"/>
          <w:szCs w:val="18"/>
        </w:rPr>
        <w:t xml:space="preserve">Codes are kept apart from keys and never written on a key tag.</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Alarm company</w:t>
            </w:r>
          </w:p>
          <w:p>
            <w:pPr>
              <w:keepNext w:val="false"/>
              <w:spacing w:before="120"/>
            </w:pPr>
          </w:p>
        </w:tc>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Alarm company phone</w:t>
            </w:r>
          </w:p>
          <w:p>
            <w:pPr>
              <w:keepNext w:val="false"/>
              <w:spacing w:before="120"/>
            </w:pPr>
          </w:p>
        </w:tc>
      </w:tr>
      <w:tr>
        <w:trPr>
          <w:cantSplit/>
        </w:trPr>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Alarm passcode or verbal password</w:t>
            </w:r>
          </w:p>
          <w:p>
            <w:pPr>
              <w:keepNext w:val="false"/>
              <w:spacing w:before="120"/>
            </w:pPr>
          </w:p>
        </w:tc>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Gate or community access</w:t>
            </w:r>
          </w:p>
          <w:p>
            <w:pPr>
              <w:keepNext w:val="false"/>
              <w:spacing w:before="120"/>
            </w:pPr>
          </w:p>
        </w:tc>
      </w:tr>
      <w:tr>
        <w:trPr>
          <w:cantSplit/>
        </w:trPr>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Garage keypad</w:t>
            </w:r>
          </w:p>
          <w:p>
            <w:pPr>
              <w:keepNext w:val="false"/>
              <w:spacing w:before="120"/>
            </w:pPr>
          </w:p>
        </w:tc>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Lockbox location</w:t>
            </w:r>
          </w:p>
          <w:p>
            <w:pPr>
              <w:keepNext w:val="false"/>
              <w:spacing w:before="120"/>
            </w:pPr>
          </w:p>
        </w:tc>
      </w:tr>
    </w:tbl>
    <w:p>
      <w:pPr>
        <w:spacing w:after="60"/>
      </w:pPr>
    </w:p>
    <w:p>
      <w:pPr>
        <w:keepNext/>
        <w:spacing w:after="80" w:before="280"/>
      </w:pPr>
      <w:r>
        <w:rPr>
          <w:rFonts w:ascii="Arial" w:cs="Arial" w:eastAsia="Arial" w:hAnsi="Arial"/>
          <w:b/>
          <w:bCs/>
          <w:color w:val="92400E"/>
          <w:sz w:val="24"/>
          <w:szCs w:val="24"/>
        </w:rPr>
        <w:t xml:space="preserve">People who may enter or get keys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60"/>
        <w:gridCol w:w="2240"/>
        <w:gridCol w:w="2240"/>
        <w:gridCol w:w="1120"/>
        <w:gridCol w:w="1120"/>
      </w:tblGrid>
      <w:tr>
        <w:trPr>
          <w:tblHeader/>
        </w:trPr>
        <w:tc>
          <w:tcPr>
            <w:tcW w:type="dxa" w:w="3360"/>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Name</w:t>
            </w:r>
          </w:p>
        </w:tc>
        <w:tc>
          <w:tcPr>
            <w:tcW w:type="dxa" w:w="2240"/>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Relationship</w:t>
            </w:r>
          </w:p>
        </w:tc>
        <w:tc>
          <w:tcPr>
            <w:tcW w:type="dxa" w:w="2240"/>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Phone</w:t>
            </w:r>
          </w:p>
        </w:tc>
        <w:tc>
          <w:tcPr>
            <w:tcW w:type="dxa" w:w="1120"/>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May enter</w:t>
            </w:r>
          </w:p>
        </w:tc>
        <w:tc>
          <w:tcPr>
            <w:tcW w:type="dxa" w:w="1120"/>
            <w:tcBorders>
              <w:top w:val="single" w:color="999999" w:sz="4"/>
              <w:left w:val="single" w:color="999999" w:sz="4"/>
              <w:bottom w:val="single" w:color="999999" w:sz="4"/>
              <w:right w:val="single" w:color="999999" w:sz="4"/>
            </w:tcBorders>
            <w:shd w:fill="F3EEE8" w:color="auto" w:val="clear"/>
            <w:tcMar>
              <w:top w:type="dxa" w:w="80"/>
              <w:left w:type="dxa" w:w="100"/>
              <w:bottom w:type="dxa" w:w="80"/>
              <w:right w:type="dxa" w:w="100"/>
            </w:tcMar>
          </w:tcPr>
          <w:p>
            <w:r>
              <w:rPr>
                <w:rFonts w:ascii="Arial" w:cs="Arial" w:eastAsia="Arial" w:hAnsi="Arial"/>
                <w:b/>
                <w:bCs/>
                <w:sz w:val="16"/>
                <w:szCs w:val="16"/>
              </w:rPr>
              <w:t xml:space="preserve">May get keys</w:t>
            </w:r>
          </w:p>
        </w:tc>
      </w:tr>
      <w:tr>
        <w:trPr>
          <w:cantSplit/>
          <w:trHeight w:val="400" w:hRule="atLeast"/>
        </w:trPr>
        <w:tc>
          <w:tcPr>
            <w:tcW w:type="dxa" w:w="336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12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120"/>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336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12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120"/>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336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12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120"/>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r>
        <w:trPr>
          <w:cantSplit/>
          <w:trHeight w:val="400" w:hRule="atLeast"/>
        </w:trPr>
        <w:tc>
          <w:tcPr>
            <w:tcW w:type="dxa" w:w="336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224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120"/>
            <w:tcBorders>
              <w:top w:val="single" w:color="999999" w:sz="4"/>
              <w:left w:val="single" w:color="999999" w:sz="4"/>
              <w:bottom w:val="single" w:color="999999" w:sz="4"/>
              <w:right w:val="single" w:color="999999" w:sz="4"/>
            </w:tcBorders>
            <w:tcMar>
              <w:top w:type="dxa" w:w="80"/>
              <w:left w:type="dxa" w:w="100"/>
              <w:bottom w:type="dxa" w:w="80"/>
              <w:right w:type="dxa" w:w="100"/>
            </w:tcMar>
          </w:tcPr>
          <w:p/>
        </w:tc>
        <w:tc>
          <w:tcPr>
            <w:tcW w:type="dxa" w:w="1120"/>
            <w:tcBorders>
              <w:top w:val="single" w:color="999999" w:sz="4"/>
              <w:left w:val="single" w:color="999999" w:sz="4"/>
              <w:bottom w:val="single" w:color="999999" w:sz="4"/>
              <w:right w:val="single" w:color="999999" w:sz="4"/>
            </w:tcBorders>
            <w:tcMar>
              <w:top w:type="dxa" w:w="80"/>
              <w:left w:type="dxa" w:w="100"/>
              <w:bottom w:type="dxa" w:w="80"/>
              <w:right w:type="dxa" w:w="100"/>
            </w:tcMar>
          </w:tcPr>
          <w:p/>
        </w:tc>
      </w:tr>
    </w:tbl>
    <w:p>
      <w:pPr>
        <w:spacing w:after="60"/>
      </w:pPr>
    </w:p>
    <w:p>
      <w:pPr>
        <w:spacing w:after="120"/>
      </w:pPr>
      <w:r>
        <w:rPr>
          <w:rFonts w:ascii="Arial" w:cs="Arial" w:eastAsia="Arial" w:hAnsi="Arial"/>
          <w:b/>
          <w:bCs/>
          <w:sz w:val="20"/>
          <w:szCs w:val="20"/>
        </w:rPr>
        <w:t xml:space="preserve">Key holder authorization.</w:t>
      </w:r>
      <w:r>
        <w:rPr>
          <w:rFonts w:ascii="Arial" w:cs="Arial" w:eastAsia="Arial" w:hAnsi="Arial"/>
          <w:sz w:val="20"/>
          <w:szCs w:val="20"/>
        </w:rPr>
        <w:t xml:space="preserve"> Client authorizes Provider to hold the keys and codes listed above; to enter the Property to provide the services in Part A; to let in the people listed above and anyone else Client approves in writing, by email or text; and to be listed with Client's alarm company and local authorities as a key holder for the Property.</w:t>
      </w:r>
    </w:p>
    <w:p>
      <w:pPr>
        <w:keepNext/>
        <w:spacing w:after="80" w:before="280"/>
      </w:pPr>
      <w:r>
        <w:rPr>
          <w:rFonts w:ascii="Arial" w:cs="Arial" w:eastAsia="Arial" w:hAnsi="Arial"/>
          <w:b/>
          <w:bCs/>
          <w:color w:val="92400E"/>
          <w:sz w:val="24"/>
          <w:szCs w:val="24"/>
        </w:rPr>
        <w:t xml:space="preserve">Acceptance</w:t>
      </w:r>
    </w:p>
    <w:p>
      <w:pPr>
        <w:keepNext/>
        <w:keepLines/>
        <w:spacing w:after="120"/>
      </w:pPr>
      <w:r>
        <w:rPr>
          <w:rFonts w:ascii="Arial" w:cs="Arial" w:eastAsia="Arial" w:hAnsi="Arial"/>
          <w:sz w:val="20"/>
          <w:szCs w:val="20"/>
        </w:rPr>
        <w:t xml:space="preserve">Sign below, or accept by email: if Provider sends this Agreement by email, Client may accept it by replying with the words "I agree." Both parties intend that reply to have the same effect as a signature. Acceptance covers Parts A and B.</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pPr>
            <w:r>
              <w:rPr>
                <w:rFonts w:ascii="Arial" w:cs="Arial" w:eastAsia="Arial" w:hAnsi="Arial"/>
                <w:color w:val="555555"/>
                <w:sz w:val="16"/>
                <w:szCs w:val="16"/>
              </w:rPr>
              <w:t xml:space="preserve">Provider: signature</w:t>
            </w:r>
          </w:p>
          <w:p>
            <w:pPr>
              <w:keepNext/>
              <w:spacing w:before="120"/>
            </w:pPr>
          </w:p>
        </w:tc>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pPr>
            <w:r>
              <w:rPr>
                <w:rFonts w:ascii="Arial" w:cs="Arial" w:eastAsia="Arial" w:hAnsi="Arial"/>
                <w:color w:val="555555"/>
                <w:sz w:val="16"/>
                <w:szCs w:val="16"/>
              </w:rPr>
              <w:t xml:space="preserve">Client: signature</w:t>
            </w:r>
          </w:p>
          <w:p>
            <w:pPr>
              <w:keepNext/>
              <w:spacing w:before="120"/>
            </w:pPr>
          </w:p>
        </w:tc>
      </w:tr>
      <w:tr>
        <w:trPr>
          <w:cantSplit/>
        </w:trPr>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pPr>
            <w:r>
              <w:rPr>
                <w:rFonts w:ascii="Arial" w:cs="Arial" w:eastAsia="Arial" w:hAnsi="Arial"/>
                <w:color w:val="555555"/>
                <w:sz w:val="16"/>
                <w:szCs w:val="16"/>
              </w:rPr>
              <w:t xml:space="preserve">Provider: printed name</w:t>
            </w:r>
          </w:p>
          <w:p>
            <w:pPr>
              <w:keepNext/>
              <w:spacing w:before="120"/>
            </w:pPr>
          </w:p>
        </w:tc>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pPr>
            <w:r>
              <w:rPr>
                <w:rFonts w:ascii="Arial" w:cs="Arial" w:eastAsia="Arial" w:hAnsi="Arial"/>
                <w:color w:val="555555"/>
                <w:sz w:val="16"/>
                <w:szCs w:val="16"/>
              </w:rPr>
              <w:t xml:space="preserve">Client: printed name</w:t>
            </w:r>
          </w:p>
          <w:p>
            <w:pPr>
              <w:keepNext/>
              <w:spacing w:before="120"/>
            </w:pPr>
          </w:p>
        </w:tc>
      </w:tr>
      <w:tr>
        <w:trPr>
          <w:cantSplit/>
        </w:trPr>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pPr>
            <w:r>
              <w:rPr>
                <w:rFonts w:ascii="Arial" w:cs="Arial" w:eastAsia="Arial" w:hAnsi="Arial"/>
                <w:color w:val="555555"/>
                <w:sz w:val="16"/>
                <w:szCs w:val="16"/>
              </w:rPr>
              <w:t xml:space="preserve">Provider: date</w:t>
            </w:r>
          </w:p>
          <w:p>
            <w:pPr>
              <w:keepNext/>
              <w:spacing w:before="120"/>
            </w:pPr>
          </w:p>
        </w:tc>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pPr>
            <w:r>
              <w:rPr>
                <w:rFonts w:ascii="Arial" w:cs="Arial" w:eastAsia="Arial" w:hAnsi="Arial"/>
                <w:color w:val="555555"/>
                <w:sz w:val="16"/>
                <w:szCs w:val="16"/>
              </w:rPr>
              <w:t xml:space="preserve">Client: date</w:t>
            </w:r>
          </w:p>
          <w:p>
            <w:pPr>
              <w:keepNext/>
              <w:spacing w:before="120"/>
            </w:pPr>
          </w:p>
        </w:tc>
      </w:tr>
    </w:tbl>
    <w:p/>
    <w:p>
      <w:pPr>
        <w:keepNext/>
        <w:spacing w:after="80" w:before="280"/>
      </w:pPr>
      <w:r>
        <w:rPr>
          <w:rFonts w:ascii="Arial" w:cs="Arial" w:eastAsia="Arial" w:hAnsi="Arial"/>
          <w:b/>
          <w:bCs/>
          <w:color w:val="92400E"/>
          <w:sz w:val="24"/>
          <w:szCs w:val="24"/>
        </w:rPr>
        <w:t xml:space="preserve">Return of keys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10080"/>
            <w:gridSpan w:val="2"/>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Items returned</w:t>
            </w:r>
          </w:p>
          <w:p>
            <w:pPr>
              <w:keepNext w:val="false"/>
              <w:spacing w:before="120"/>
            </w:pPr>
          </w:p>
        </w:tc>
      </w:tr>
      <w:tr>
        <w:trPr>
          <w:cantSplit/>
        </w:trPr>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Returned to</w:t>
            </w:r>
          </w:p>
          <w:p>
            <w:pPr>
              <w:keepNext w:val="false"/>
              <w:spacing w:before="120"/>
            </w:pPr>
          </w:p>
        </w:tc>
        <w:tc>
          <w:tcPr>
            <w:tcW w:type="dxa" w:w="5040"/>
            <w:gridSpan w:val="1"/>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Date</w:t>
            </w:r>
          </w:p>
          <w:p>
            <w:pPr>
              <w:keepNext w:val="false"/>
              <w:spacing w:before="120"/>
            </w:pPr>
          </w:p>
        </w:tc>
      </w:tr>
      <w:tr>
        <w:trPr>
          <w:cantSplit/>
        </w:trPr>
        <w:tc>
          <w:tcPr>
            <w:tcW w:type="dxa" w:w="10080"/>
            <w:gridSpan w:val="2"/>
            <w:tcBorders>
              <w:top w:val="none" w:color="FFFFFF" w:sz="0"/>
              <w:left w:val="none" w:color="FFFFFF" w:sz="0"/>
              <w:bottom w:val="single" w:color="333333" w:sz="6"/>
              <w:right w:val="none" w:color="FFFFFF" w:sz="0"/>
            </w:tcBorders>
            <w:tcMar>
              <w:top w:type="dxa" w:w="100"/>
              <w:left w:type="dxa" w:w="0"/>
              <w:bottom w:type="dxa" w:w="60"/>
              <w:right w:type="dxa" w:w="200"/>
            </w:tcMar>
          </w:tcPr>
          <w:p>
            <w:pPr>
              <w:keepNext w:val="false"/>
            </w:pPr>
            <w:r>
              <w:rPr>
                <w:rFonts w:ascii="Arial" w:cs="Arial" w:eastAsia="Arial" w:hAnsi="Arial"/>
                <w:color w:val="555555"/>
                <w:sz w:val="16"/>
                <w:szCs w:val="16"/>
              </w:rPr>
              <w:t xml:space="preserve">Received by (signature)</w:t>
            </w:r>
          </w:p>
          <w:p>
            <w:pPr>
              <w:keepNext w:val="false"/>
              <w:spacing w:before="120"/>
            </w:pPr>
          </w:p>
        </w:tc>
      </w:tr>
    </w:tbl>
    <w:p>
      <w:pPr>
        <w:spacing w:after="60"/>
      </w:pP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55555"/>
        <w:sz w:val="16"/>
        <w:szCs w:val="16"/>
      </w:rPr>
      <w:t xml:space="preserve">Home Watch Service Agreement and Key Authorization  ·  Page </w:t>
    </w:r>
    <w:r>
      <w:rPr>
        <w:rFonts w:ascii="Arial" w:cs="Arial" w:eastAsia="Arial" w:hAnsi="Arial"/>
        <w:color w:val="555555"/>
        <w:sz w:val="16"/>
        <w:szCs w:val="16"/>
      </w:rPr>
      <w:fldChar w:fldCharType="begin"/>
      <w:instrText xml:space="preserve">PAGE</w:instrText>
      <w:fldChar w:fldCharType="separate"/>
      <w:fldChar w:fldCharType="end"/>
    </w:r>
    <w:r>
      <w:rPr>
        <w:rFonts w:ascii="Arial" w:cs="Arial" w:eastAsia="Arial" w:hAnsi="Arial"/>
        <w:color w:val="555555"/>
        <w:sz w:val="16"/>
        <w:szCs w:val="16"/>
      </w:rPr>
      <w:t xml:space="preserve"> of </w:t>
    </w:r>
    <w:r>
      <w:rPr>
        <w:rFonts w:ascii="Arial" w:cs="Arial" w:eastAsia="Arial" w:hAnsi="Arial"/>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Watch Service Agreement and Key Authorization</dc:title>
  <cp:lastModifiedBy>Un-named</cp:lastModifiedBy>
  <cp:revision>1</cp:revision>
  <dcterms:created xsi:type="dcterms:W3CDTF">2026-10-13T03:28:30.434Z</dcterms:created>
  <dcterms:modified xsi:type="dcterms:W3CDTF">2026-10-13T03:28:30.435Z</dcterms:modified>
</cp:coreProperties>
</file>

<file path=docProps/custom.xml><?xml version="1.0" encoding="utf-8"?>
<Properties xmlns="http://schemas.openxmlformats.org/officeDocument/2006/custom-properties" xmlns:vt="http://schemas.openxmlformats.org/officeDocument/2006/docPropsVTypes"/>
</file>